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安徽中冶淮海装配式建筑有限公司</w:t>
      </w:r>
    </w:p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竞价</w:t>
      </w:r>
      <w:r>
        <w:rPr>
          <w:rFonts w:hint="eastAsia" w:ascii="方正小标宋简体" w:eastAsia="方正小标宋简体"/>
          <w:b/>
          <w:sz w:val="44"/>
          <w:szCs w:val="44"/>
        </w:rPr>
        <w:t>评分办法</w:t>
      </w:r>
    </w:p>
    <w:p>
      <w:pPr>
        <w:pStyle w:val="6"/>
        <w:spacing w:line="640" w:lineRule="exact"/>
        <w:jc w:val="center"/>
      </w:pPr>
      <w:r>
        <w:rPr>
          <w:rFonts w:hint="eastAsia"/>
        </w:rPr>
        <w:t>（综合评分法）</w:t>
      </w:r>
    </w:p>
    <w:p/>
    <w:p>
      <w:pPr>
        <w:pStyle w:val="3"/>
        <w:spacing w:before="0" w:line="580" w:lineRule="exact"/>
        <w:ind w:left="0"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评选</w:t>
      </w:r>
      <w:r>
        <w:rPr>
          <w:rFonts w:hint="eastAsia" w:ascii="黑体" w:hAnsi="黑体" w:eastAsia="黑体" w:cs="黑体"/>
          <w:sz w:val="32"/>
          <w:szCs w:val="32"/>
        </w:rPr>
        <w:t>方法</w:t>
      </w:r>
    </w:p>
    <w:p>
      <w:pPr>
        <w:spacing w:line="580" w:lineRule="exact"/>
        <w:ind w:firstLine="960" w:firstLineChars="3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eastAsia="zh-CN"/>
        </w:rPr>
        <w:t>评选</w:t>
      </w:r>
      <w:r>
        <w:rPr>
          <w:rFonts w:hint="eastAsia" w:ascii="仿宋_GB2312" w:hAnsi="仿宋_GB2312" w:cs="仿宋_GB2312"/>
          <w:szCs w:val="32"/>
          <w:highlight w:val="none"/>
        </w:rPr>
        <w:t>委员会对满足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hAnsi="仿宋_GB2312" w:cs="仿宋_GB2312"/>
          <w:szCs w:val="32"/>
          <w:highlight w:val="none"/>
        </w:rPr>
        <w:t>文件实质性要求的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cs="仿宋_GB2312"/>
          <w:szCs w:val="32"/>
          <w:highlight w:val="none"/>
        </w:rPr>
        <w:t>文件，将从信誉、技术、业绩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3</w:t>
      </w:r>
      <w:r>
        <w:rPr>
          <w:rFonts w:hint="eastAsia" w:ascii="仿宋_GB2312" w:cs="仿宋_GB2312"/>
          <w:szCs w:val="32"/>
          <w:highlight w:val="none"/>
        </w:rPr>
        <w:t>个</w:t>
      </w:r>
      <w:r>
        <w:rPr>
          <w:rFonts w:hint="eastAsia" w:ascii="仿宋_GB2312" w:hAnsi="仿宋_GB2312" w:cs="仿宋_GB2312"/>
          <w:szCs w:val="32"/>
          <w:highlight w:val="none"/>
        </w:rPr>
        <w:t>方面进行综合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评分（后附评分表）</w:t>
      </w:r>
      <w:r>
        <w:rPr>
          <w:rFonts w:hint="eastAsia" w:ascii="仿宋_GB2312" w:hAnsi="仿宋_GB2312" w:cs="仿宋_GB2312"/>
          <w:szCs w:val="32"/>
          <w:highlight w:val="none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经评选委员会最终评分≥90分的报价单位，则进行下一轮进行商务部分评比，否则将进行淘汰。经第二轮评选委员会评审，</w:t>
      </w:r>
      <w:r>
        <w:rPr>
          <w:rFonts w:hint="eastAsia" w:ascii="仿宋_GB2312" w:hAnsi="仿宋_GB2312" w:cs="仿宋_GB2312"/>
          <w:szCs w:val="32"/>
          <w:highlight w:val="none"/>
        </w:rPr>
        <w:t>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商务部分报价最低单位</w:t>
      </w:r>
      <w:r>
        <w:rPr>
          <w:rFonts w:hint="eastAsia" w:ascii="仿宋_GB2312" w:hAnsi="仿宋_GB2312" w:cs="仿宋_GB2312"/>
          <w:szCs w:val="32"/>
          <w:highlight w:val="none"/>
        </w:rPr>
        <w:t>推荐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cs="仿宋_GB2312"/>
          <w:szCs w:val="32"/>
          <w:highlight w:val="none"/>
        </w:rPr>
        <w:t>中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cs="仿宋_GB2312"/>
          <w:szCs w:val="32"/>
          <w:highlight w:val="none"/>
        </w:rPr>
        <w:t>候选人。</w:t>
      </w:r>
    </w:p>
    <w:p>
      <w:pPr>
        <w:pStyle w:val="3"/>
        <w:spacing w:before="0" w:line="580" w:lineRule="exact"/>
        <w:ind w:left="0"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评选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（一）初步评审标准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委员会审查每一个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文件，根据初步评审标准对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文件进行初步评审，不符合评审标准的，作废处理。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人提交评审标准规定的有关证明和证件的原件，以便核验。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人不能说明理由又拒不提供的有关证明和证件的原件的，经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委员会认定该项评审因素不符合评审标准的作废处理。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初步评审标准明细：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评审因素和评审标准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单位基本情况：附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人营业执照及其年检合格的证明材料、资质证书副本等材料的复印件。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函签字盖章：有法定代表人或其委托代理人签字并加盖单位章。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文件格式：符合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文件相应的要求。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报价唯一：每个标段只能有一个有效报价。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保证金：按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文件要求已交纳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保证金，出示财务收据。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近三年完成的类似工程总承包项目情况表：附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通知书和合同协议书、工程接收证书（工程竣工验收证书）复印件。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正在实施和新承接的项目情况表：附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通知书和（或）合同协议书复印件。每张表格只填写一个项目，并标明序号。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近三年发生的重大诉讼及仲裁情况</w:t>
      </w:r>
      <w:r>
        <w:rPr>
          <w:rFonts w:hint="eastAsia" w:ascii="仿宋_GB2312" w:hAnsi="仿宋_GB2312" w:cs="仿宋_GB2312"/>
          <w:szCs w:val="32"/>
        </w:rPr>
        <w:tab/>
      </w:r>
      <w:r>
        <w:rPr>
          <w:rFonts w:hint="eastAsia" w:ascii="仿宋_GB2312" w:hAnsi="仿宋_GB2312" w:cs="仿宋_GB2312"/>
          <w:szCs w:val="32"/>
        </w:rPr>
        <w:t>说明相关情况，并附法院或仲裁机构作出的判决、裁决等有关法律文书复印件。</w:t>
      </w: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（二）详细评审标准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详见附件《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标准表》。</w:t>
      </w: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（三）评分规则</w:t>
      </w:r>
    </w:p>
    <w:p>
      <w:pPr>
        <w:spacing w:line="580" w:lineRule="exact"/>
        <w:ind w:firstLine="640" w:firstLineChars="200"/>
        <w:rPr>
          <w:rFonts w:ascii="仿宋_GB2312" w:cs="仿宋_GB2312"/>
          <w:szCs w:val="32"/>
          <w:highlight w:val="none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委员会成员按照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文件要求给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人打分，并按各</w:t>
      </w:r>
      <w:r>
        <w:rPr>
          <w:rFonts w:hint="eastAsia" w:ascii="仿宋_GB2312" w:cs="仿宋_GB2312"/>
          <w:szCs w:val="32"/>
          <w:highlight w:val="none"/>
        </w:rPr>
        <w:t>项得分权重进行评分。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cs="仿宋_GB2312"/>
          <w:szCs w:val="32"/>
          <w:highlight w:val="none"/>
          <w:lang w:val="en-US" w:eastAsia="zh-CN"/>
        </w:rPr>
        <w:t>2</w:t>
      </w:r>
      <w:r>
        <w:rPr>
          <w:rFonts w:ascii="仿宋_GB2312" w:cs="仿宋_GB2312"/>
          <w:szCs w:val="32"/>
          <w:highlight w:val="none"/>
        </w:rPr>
        <w:t>.</w:t>
      </w:r>
      <w:r>
        <w:rPr>
          <w:rFonts w:hint="eastAsia" w:ascii="仿宋_GB2312" w:cs="仿宋_GB2312"/>
          <w:szCs w:val="32"/>
          <w:highlight w:val="none"/>
          <w:lang w:eastAsia="zh-CN"/>
        </w:rPr>
        <w:t>评选</w:t>
      </w:r>
      <w:r>
        <w:rPr>
          <w:rFonts w:hint="eastAsia" w:ascii="仿宋_GB2312" w:cs="仿宋_GB2312"/>
          <w:szCs w:val="32"/>
          <w:highlight w:val="none"/>
        </w:rPr>
        <w:t>委员会根据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人的最终得分，按照高低次序确定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人的排列名次，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评分未达到90分及以上报价单位，则无权进行下一轮商务部分评审，评分达到90分及以上报价单位，则进行下一轮商务部分评审</w:t>
      </w:r>
      <w:r>
        <w:rPr>
          <w:rFonts w:hint="eastAsia" w:ascii="仿宋_GB2312" w:hAnsi="仿宋_GB2312" w:cs="仿宋_GB2312"/>
          <w:szCs w:val="32"/>
          <w:highlight w:val="none"/>
        </w:rPr>
        <w:t>。</w:t>
      </w:r>
    </w:p>
    <w:p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szCs w:val="32"/>
        </w:rPr>
      </w:pPr>
    </w:p>
    <w:p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szCs w:val="32"/>
        </w:rPr>
      </w:pPr>
    </w:p>
    <w:p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szCs w:val="32"/>
        </w:rPr>
      </w:pP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szCs w:val="32"/>
          <w:lang w:eastAsia="zh-CN"/>
        </w:rPr>
        <w:t>评选</w:t>
      </w:r>
      <w:r>
        <w:rPr>
          <w:rFonts w:hint="eastAsia" w:ascii="楷体_GB2312" w:hAnsi="楷体_GB2312" w:eastAsia="楷体_GB2312" w:cs="楷体_GB2312"/>
          <w:b/>
          <w:szCs w:val="32"/>
        </w:rPr>
        <w:t>结果</w:t>
      </w:r>
    </w:p>
    <w:p>
      <w:pPr>
        <w:spacing w:line="580" w:lineRule="exact"/>
        <w:ind w:firstLine="640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委员会按照得分由高到低的顺序推荐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候选人。有效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≥</w:t>
      </w:r>
      <w:r>
        <w:rPr>
          <w:rFonts w:ascii="仿宋_GB2312" w:cs="仿宋_GB2312"/>
          <w:szCs w:val="32"/>
        </w:rPr>
        <w:t>5</w:t>
      </w:r>
      <w:r>
        <w:rPr>
          <w:rFonts w:hint="eastAsia" w:ascii="仿宋_GB2312" w:cs="仿宋_GB2312"/>
          <w:szCs w:val="32"/>
        </w:rPr>
        <w:t>名时，推荐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名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候选人。有效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＜</w:t>
      </w:r>
      <w:r>
        <w:rPr>
          <w:rFonts w:ascii="仿宋_GB2312" w:cs="仿宋_GB2312"/>
          <w:szCs w:val="32"/>
        </w:rPr>
        <w:t>5</w:t>
      </w:r>
      <w:r>
        <w:rPr>
          <w:rFonts w:hint="eastAsia" w:ascii="仿宋_GB2312" w:cs="仿宋_GB2312"/>
          <w:szCs w:val="32"/>
        </w:rPr>
        <w:t>名时，推荐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名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候选人。</w:t>
      </w:r>
    </w:p>
    <w:p>
      <w:pPr>
        <w:spacing w:line="580" w:lineRule="exact"/>
        <w:ind w:firstLine="640" w:firstLineChars="200"/>
        <w:rPr>
          <w:rFonts w:hint="eastAsia" w:ascii="仿宋_GB2312" w:cs="仿宋_GB2312"/>
          <w:szCs w:val="32"/>
          <w:highlight w:val="none"/>
        </w:rPr>
      </w:pPr>
      <w:r>
        <w:rPr>
          <w:rFonts w:ascii="仿宋_GB2312" w:cs="仿宋_GB2312"/>
          <w:szCs w:val="32"/>
          <w:highlight w:val="none"/>
        </w:rPr>
        <w:t>2.</w:t>
      </w:r>
      <w:r>
        <w:rPr>
          <w:rFonts w:hint="eastAsia" w:ascii="仿宋_GB2312" w:cs="仿宋_GB2312"/>
          <w:szCs w:val="32"/>
          <w:highlight w:val="none"/>
        </w:rPr>
        <w:t>由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单位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工作小组依据推荐</w:t>
      </w:r>
      <w:r>
        <w:rPr>
          <w:rFonts w:hint="eastAsia" w:asci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cs="仿宋_GB2312"/>
          <w:szCs w:val="32"/>
          <w:highlight w:val="none"/>
        </w:rPr>
        <w:t>候选人。</w:t>
      </w:r>
    </w:p>
    <w:p>
      <w:pPr>
        <w:pStyle w:val="6"/>
        <w:ind w:firstLine="640" w:firstLineChars="200"/>
        <w:rPr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3.甲方</w:t>
      </w:r>
      <w:r>
        <w:rPr>
          <w:rFonts w:hint="eastAsia" w:ascii="仿宋_GB2312" w:hAnsi="仿宋_GB2312" w:cs="仿宋_GB2312"/>
          <w:szCs w:val="32"/>
          <w:highlight w:val="none"/>
        </w:rPr>
        <w:t>可以通过二次议价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技术答辩</w:t>
      </w:r>
      <w:r>
        <w:rPr>
          <w:rFonts w:hint="eastAsia" w:ascii="仿宋_GB2312" w:hAnsi="仿宋_GB2312" w:cs="仿宋_GB2312"/>
          <w:szCs w:val="32"/>
          <w:highlight w:val="none"/>
        </w:rPr>
        <w:t>的方式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进行议价</w:t>
      </w:r>
      <w:r>
        <w:rPr>
          <w:rFonts w:hint="eastAsia" w:ascii="仿宋_GB2312" w:hAnsi="仿宋_GB2312" w:cs="仿宋_GB2312"/>
          <w:szCs w:val="32"/>
          <w:highlight w:val="none"/>
        </w:rPr>
        <w:t>，将以书面形式通知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单位，保留报价总额最低的为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单位，再和次低的单位进行洽谈，如果次低单位不同意降价，再和第三家单位进行洽谈，以此类推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最终来确定最终中选人</w:t>
      </w:r>
      <w:r>
        <w:rPr>
          <w:rFonts w:hint="eastAsia" w:ascii="仿宋_GB2312" w:hAnsi="仿宋_GB2312" w:cs="仿宋_GB2312"/>
          <w:szCs w:val="32"/>
          <w:highlight w:val="none"/>
        </w:rPr>
        <w:t>。</w:t>
      </w:r>
    </w:p>
    <w:p>
      <w:pPr>
        <w:pStyle w:val="2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>
      <w:pPr>
        <w:pStyle w:val="6"/>
      </w:pPr>
    </w:p>
    <w:p/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评选</w:t>
      </w:r>
      <w:r>
        <w:rPr>
          <w:rFonts w:hint="eastAsia" w:ascii="方正小标宋简体" w:eastAsia="方正小标宋简体"/>
          <w:b/>
          <w:sz w:val="44"/>
          <w:szCs w:val="44"/>
        </w:rPr>
        <w:t>计分标准表</w:t>
      </w:r>
    </w:p>
    <w:tbl>
      <w:tblPr>
        <w:tblStyle w:val="7"/>
        <w:tblW w:w="61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70"/>
        <w:gridCol w:w="544"/>
        <w:gridCol w:w="5017"/>
        <w:gridCol w:w="3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评分因素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分值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赋分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标书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标书完整性。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标书完整性3分，有破损扣2分</w:t>
            </w:r>
            <w:r>
              <w:rPr>
                <w:rFonts w:eastAsia="宋体" w:cs="宋体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评级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分包商在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评级情况。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施工业绩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近三年与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工程类似主要施工业绩，同类型项目数量。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5个以上得8分，4个得6分，3个得4分，2个得2分，1个得1分。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能力评价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技术能力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方案中对本工程关键项目、关键部位、关键工序的理解。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全面、准确，有相应的应对措施和技术方案得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5～4分。较准确为3～2分。较差时得1～0分。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施工总体布置与工程特点、现场条件的结合性，是否统筹规划、合理布局，交通情况，对生产生活的安排情况，交叉作业情况。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结合和现场实际、统筹考虑、经济合理、安全可靠、交叉作业少得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5～4分。总体虽可行，但在某些方面存在较小缺陷时得3～2分。整体布局不可行或存在较大缺陷时1～0分。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对本工程关键项目、关键部位、关键工序的质量控制措施。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措施及方案详细、可行，各项保证措施得力、与工程相适应针对性强得5</w:t>
            </w:r>
            <w:r>
              <w:rPr>
                <w:rFonts w:eastAsia="宋体" w:cs="宋体"/>
                <w:kern w:val="0"/>
                <w:sz w:val="24"/>
                <w:lang w:bidi="ar"/>
              </w:rPr>
              <w:t>～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分。一般得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eastAsia="宋体" w:cs="宋体"/>
                <w:kern w:val="0"/>
                <w:sz w:val="24"/>
                <w:lang w:bidi="ar"/>
              </w:rPr>
              <w:t>～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分。有较大差距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为</w:t>
            </w:r>
            <w:r>
              <w:rPr>
                <w:rFonts w:eastAsia="宋体" w:cs="宋体"/>
                <w:kern w:val="0"/>
                <w:sz w:val="24"/>
                <w:lang w:bidi="ar"/>
              </w:rPr>
              <w:t>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施工组织能力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项目组织机构和专业设置齐全、完整，人员配置合理，部门负责人的安排能够满足质量、安全、进度管理。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满足得5～4分。基本满足为3～2分。有较大差距为1～0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项目经理、技术负责人施工经验及述标表现。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满足得10～8分。基本满足为7～5分。有较大差距为4～0分。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项目现场主要管理人员劳动合同及社保缴纳。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满足得9～7分。基本满足为6～5分。有较大差距为4～1分。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赶工期施工人员组织能力。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满足得5～4分。基本满足为3～2分。</w:t>
            </w: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资金保障能力。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资金垫付能力良好得5～4分。一般为3～2分。较差或无垫付能力为1～0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作业班组结构组成。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直接管理工人，按工人考勤或工作量直接计薪得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5分。通过小班组承包模式管理，对班组长计算总薪酬得3分。通过大班组承包模式管理，对班组长计算总薪酬得1分。直接发包</w:t>
            </w:r>
            <w:r>
              <w:rPr>
                <w:rFonts w:hint="eastAsia" w:eastAsia="宋体" w:cs="宋体"/>
                <w:spacing w:val="-17"/>
                <w:kern w:val="0"/>
                <w:sz w:val="24"/>
                <w:lang w:bidi="ar"/>
              </w:rPr>
              <w:t>给第三方，本表不得分。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主要评审实名制实施方案，工资保障措施。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措施完善、合理，职责明确、责任到位，重点是农民工工资保障措施，能有效规避农民工欠薪投诉风险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5～4分。基本满足为3～2分。一般为1～0分。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质量保证体系及质量管理组织机构健全，质量目标明确，现场技术、质量人员的配备齐全，能力符合项目需求。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满足得5～4分。基本满足为3～2分。</w:t>
            </w: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安全保证体系，管理制度，安全技术方案、保障措施，文明施工措施。现场安全管理人员配备齐全，能力符合项目需求。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满足得5～4分。基本满足为3～2分。</w:t>
            </w: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合理化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建议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设计优化建议。工期优化建议。质量提升建议。成本节约建议。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良好</w:t>
            </w:r>
            <w:r>
              <w:rPr>
                <w:rFonts w:eastAsia="宋体" w:cs="宋体"/>
                <w:kern w:val="0"/>
                <w:sz w:val="24"/>
                <w:lang w:bidi="ar"/>
              </w:rPr>
              <w:t>10～7分，一般6～4分，差3～0分，无建议0分。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报价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eastAsia="宋体" w:cs="宋体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hint="default" w:eastAsia="宋体" w:cs="宋体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商务部分采用最低价中选原则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eastAsia="宋体" w:cs="宋体"/>
                <w:color w:val="FF0000"/>
                <w:kern w:val="0"/>
                <w:sz w:val="24"/>
                <w:lang w:bidi="ar"/>
              </w:rPr>
            </w:pPr>
          </w:p>
        </w:tc>
      </w:tr>
    </w:tbl>
    <w:p>
      <w:pPr>
        <w:tabs>
          <w:tab w:val="left" w:pos="6405"/>
        </w:tabs>
        <w:spacing w:line="280" w:lineRule="exact"/>
        <w:rPr>
          <w:rStyle w:val="9"/>
          <w:rFonts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1NTMwMTFjMDBlYmZiMDZmYzg5MjFlOTg2YTlkMmQifQ=="/>
  </w:docVars>
  <w:rsids>
    <w:rsidRoot w:val="00E2306B"/>
    <w:rsid w:val="001D791E"/>
    <w:rsid w:val="00233F80"/>
    <w:rsid w:val="00294DB0"/>
    <w:rsid w:val="0038329D"/>
    <w:rsid w:val="004269E5"/>
    <w:rsid w:val="0043048F"/>
    <w:rsid w:val="004F0C9B"/>
    <w:rsid w:val="00532FF4"/>
    <w:rsid w:val="00593153"/>
    <w:rsid w:val="005B73AC"/>
    <w:rsid w:val="00847365"/>
    <w:rsid w:val="00901162"/>
    <w:rsid w:val="00923C4F"/>
    <w:rsid w:val="009429FB"/>
    <w:rsid w:val="009519D8"/>
    <w:rsid w:val="009846C5"/>
    <w:rsid w:val="00B15E98"/>
    <w:rsid w:val="00B733AD"/>
    <w:rsid w:val="00D02D73"/>
    <w:rsid w:val="00DC1499"/>
    <w:rsid w:val="00E16E53"/>
    <w:rsid w:val="00E2306B"/>
    <w:rsid w:val="00EA1087"/>
    <w:rsid w:val="00F66931"/>
    <w:rsid w:val="0FE83CBF"/>
    <w:rsid w:val="1B90164B"/>
    <w:rsid w:val="247A570E"/>
    <w:rsid w:val="29E17CB1"/>
    <w:rsid w:val="34817618"/>
    <w:rsid w:val="39D75C28"/>
    <w:rsid w:val="43096C25"/>
    <w:rsid w:val="45E80554"/>
    <w:rsid w:val="471A6376"/>
    <w:rsid w:val="5C8510A8"/>
    <w:rsid w:val="5DB62248"/>
    <w:rsid w:val="6FA915C1"/>
    <w:rsid w:val="721F6BB8"/>
    <w:rsid w:val="7E62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7"/>
    <w:basedOn w:val="1"/>
    <w:next w:val="1"/>
    <w:link w:val="12"/>
    <w:qFormat/>
    <w:uiPriority w:val="1"/>
    <w:pPr>
      <w:spacing w:before="53"/>
      <w:ind w:left="811" w:hanging="424"/>
      <w:outlineLvl w:val="6"/>
    </w:pPr>
    <w:rPr>
      <w:rFonts w:cs="宋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jc w:val="center"/>
    </w:pPr>
    <w:rPr>
      <w:sz w:val="5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7 字符"/>
    <w:basedOn w:val="8"/>
    <w:link w:val="3"/>
    <w:qFormat/>
    <w:uiPriority w:val="1"/>
    <w:rPr>
      <w:rFonts w:ascii="宋体" w:hAnsi="宋体" w:eastAsia="仿宋_GB2312" w:cs="宋体"/>
      <w:b/>
      <w:bCs/>
      <w:sz w:val="28"/>
      <w:szCs w:val="2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2122</Words>
  <Characters>2135</Characters>
  <Lines>18</Lines>
  <Paragraphs>5</Paragraphs>
  <TotalTime>8</TotalTime>
  <ScaleCrop>false</ScaleCrop>
  <LinksUpToDate>false</LinksUpToDate>
  <CharactersWithSpaces>2141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2022-11-16T11:30:00Z</dcterms:created>
  <dc:creator>王 欢</dc:creator>
  <cp:lastModifiedBy>黄亚莉</cp:lastModifiedBy>
  <cp:lastPrinted>2023-02-07T01:31:00Z</cp:lastPrinted>
  <dcterms:modified xsi:type="dcterms:W3CDTF">2023-08-18T02:56:32Z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5E72949C0BE548DAB1278E7880D886B8_13</vt:lpwstr>
  </property>
</Properties>
</file>